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6A0" w:firstRow="1" w:lastRow="0" w:firstColumn="1" w:lastColumn="0" w:noHBand="1" w:noVBand="1"/>
      </w:tblPr>
      <w:tblGrid>
        <w:gridCol w:w="3009"/>
        <w:gridCol w:w="3009"/>
        <w:gridCol w:w="3009"/>
      </w:tblGrid>
      <w:tr w:rsidR="6482EC3D" w14:paraId="626DB7F3" w14:textId="77777777" w:rsidTr="25F719DF">
        <w:tc>
          <w:tcPr>
            <w:tcW w:w="3009" w:type="dxa"/>
          </w:tcPr>
          <w:p w14:paraId="19A091B9" w14:textId="6EDA47E8" w:rsidR="6482EC3D" w:rsidRDefault="48F48FB2" w:rsidP="6482EC3D">
            <w:pPr>
              <w:jc w:val="center"/>
            </w:pPr>
            <w:bookmarkStart w:id="0" w:name="_GoBack"/>
            <w:bookmarkEnd w:id="0"/>
            <w:r w:rsidRPr="48F48FB2">
              <w:rPr>
                <w:rFonts w:asciiTheme="majorHAnsi" w:eastAsiaTheme="majorEastAsia" w:hAnsiTheme="majorHAnsi" w:cstheme="majorBidi"/>
                <w:sz w:val="32"/>
                <w:szCs w:val="32"/>
              </w:rPr>
              <w:t>Article</w:t>
            </w:r>
          </w:p>
        </w:tc>
        <w:tc>
          <w:tcPr>
            <w:tcW w:w="3009" w:type="dxa"/>
          </w:tcPr>
          <w:p w14:paraId="5A768E42" w14:textId="216EA41B" w:rsidR="6482EC3D" w:rsidRDefault="6482EC3D" w:rsidP="6482EC3D">
            <w:pPr>
              <w:jc w:val="center"/>
            </w:pPr>
            <w:r w:rsidRPr="6482EC3D">
              <w:rPr>
                <w:rFonts w:asciiTheme="majorHAnsi" w:eastAsiaTheme="majorEastAsia" w:hAnsiTheme="majorHAnsi" w:cstheme="majorBidi"/>
                <w:sz w:val="32"/>
                <w:szCs w:val="32"/>
              </w:rPr>
              <w:t>Typical</w:t>
            </w:r>
          </w:p>
        </w:tc>
        <w:tc>
          <w:tcPr>
            <w:tcW w:w="3009" w:type="dxa"/>
          </w:tcPr>
          <w:p w14:paraId="2BA8D890" w14:textId="6576342C" w:rsidR="6482EC3D" w:rsidRDefault="6482EC3D" w:rsidP="6482EC3D">
            <w:pPr>
              <w:jc w:val="center"/>
            </w:pPr>
            <w:r w:rsidRPr="6482EC3D">
              <w:rPr>
                <w:rFonts w:asciiTheme="majorHAnsi" w:eastAsiaTheme="majorEastAsia" w:hAnsiTheme="majorHAnsi" w:cstheme="majorBidi"/>
                <w:sz w:val="32"/>
                <w:szCs w:val="32"/>
              </w:rPr>
              <w:t>Lockdown</w:t>
            </w:r>
          </w:p>
        </w:tc>
      </w:tr>
      <w:tr w:rsidR="6482EC3D" w14:paraId="3DFF8C3B" w14:textId="77777777" w:rsidTr="25F719DF">
        <w:tc>
          <w:tcPr>
            <w:tcW w:w="3009" w:type="dxa"/>
          </w:tcPr>
          <w:p w14:paraId="2CE4DA9B" w14:textId="037E4B09" w:rsidR="6482EC3D" w:rsidRDefault="5FA05363" w:rsidP="6482EC3D">
            <w:r w:rsidRPr="5FA05363">
              <w:rPr>
                <w:sz w:val="144"/>
                <w:szCs w:val="144"/>
              </w:rPr>
              <w:t>28</w:t>
            </w:r>
          </w:p>
        </w:tc>
        <w:tc>
          <w:tcPr>
            <w:tcW w:w="3009" w:type="dxa"/>
          </w:tcPr>
          <w:p w14:paraId="61DB7BCD" w14:textId="719B0C4E" w:rsidR="6482EC3D" w:rsidRDefault="68C12BF0" w:rsidP="6482EC3D">
            <w:r w:rsidRPr="68C12BF0">
              <w:rPr>
                <w:rFonts w:ascii="Calibri" w:eastAsia="Calibri" w:hAnsi="Calibri" w:cs="Calibri"/>
              </w:rPr>
              <w:t>Every child has the right to an education. Primary education must be free and different forms of secondary education must be available to every child.</w:t>
            </w:r>
          </w:p>
        </w:tc>
        <w:tc>
          <w:tcPr>
            <w:tcW w:w="3009" w:type="dxa"/>
          </w:tcPr>
          <w:p w14:paraId="70FDEE7B" w14:textId="3530B1A7" w:rsidR="6482EC3D" w:rsidRDefault="68C12BF0" w:rsidP="6482EC3D">
            <w:r>
              <w:t xml:space="preserve">Although children are receiving homework and sheets to do per week (the best schools can do) This is not the full curriculum that these children would be covering at this time without these circumstances. </w:t>
            </w:r>
          </w:p>
        </w:tc>
      </w:tr>
      <w:tr w:rsidR="6482EC3D" w14:paraId="6165A47E" w14:textId="77777777" w:rsidTr="25F719DF">
        <w:tc>
          <w:tcPr>
            <w:tcW w:w="3009" w:type="dxa"/>
          </w:tcPr>
          <w:p w14:paraId="3E60DD5F" w14:textId="3072BC2B" w:rsidR="6482EC3D" w:rsidRDefault="5FA05363" w:rsidP="6482EC3D">
            <w:r w:rsidRPr="5FA05363">
              <w:rPr>
                <w:sz w:val="144"/>
                <w:szCs w:val="144"/>
              </w:rPr>
              <w:t>6</w:t>
            </w:r>
          </w:p>
        </w:tc>
        <w:tc>
          <w:tcPr>
            <w:tcW w:w="3009" w:type="dxa"/>
          </w:tcPr>
          <w:p w14:paraId="4C4ABF06" w14:textId="3DFE83C8" w:rsidR="6482EC3D" w:rsidRDefault="2B1A42FB" w:rsidP="6482EC3D">
            <w:r>
              <w:t>Every child has a right to life, survival and development, to grow and thrive.</w:t>
            </w:r>
          </w:p>
        </w:tc>
        <w:tc>
          <w:tcPr>
            <w:tcW w:w="3009" w:type="dxa"/>
          </w:tcPr>
          <w:p w14:paraId="0C1510FD" w14:textId="51449432" w:rsidR="6482EC3D" w:rsidRDefault="13D0DCDE" w:rsidP="6482EC3D">
            <w:r>
              <w:t>Under lockdown they are allowed one form of exercise a day, this may not be the normal amount of exercise some children need.</w:t>
            </w:r>
          </w:p>
        </w:tc>
      </w:tr>
      <w:tr w:rsidR="6482EC3D" w14:paraId="16C3BD95" w14:textId="77777777" w:rsidTr="25F719DF">
        <w:tc>
          <w:tcPr>
            <w:tcW w:w="3009" w:type="dxa"/>
          </w:tcPr>
          <w:p w14:paraId="6717984E" w14:textId="5EBD1495" w:rsidR="6482EC3D" w:rsidRDefault="5FA05363" w:rsidP="6482EC3D">
            <w:r w:rsidRPr="5FA05363">
              <w:rPr>
                <w:sz w:val="144"/>
                <w:szCs w:val="144"/>
              </w:rPr>
              <w:t>31</w:t>
            </w:r>
          </w:p>
        </w:tc>
        <w:tc>
          <w:tcPr>
            <w:tcW w:w="3009" w:type="dxa"/>
          </w:tcPr>
          <w:p w14:paraId="2918B884" w14:textId="5AFD7163" w:rsidR="6482EC3D" w:rsidRDefault="2B1A42FB" w:rsidP="6482EC3D">
            <w:r>
              <w:t xml:space="preserve">The right to leisure, play and culture - </w:t>
            </w:r>
            <w:r w:rsidRPr="2B1A42FB">
              <w:rPr>
                <w:rFonts w:ascii="Calibri" w:eastAsia="Calibri" w:hAnsi="Calibri" w:cs="Calibri"/>
              </w:rPr>
              <w:t>to relax, play and take part in a wide range of cultural and artistic activities.</w:t>
            </w:r>
          </w:p>
        </w:tc>
        <w:tc>
          <w:tcPr>
            <w:tcW w:w="3009" w:type="dxa"/>
          </w:tcPr>
          <w:p w14:paraId="5320D33A" w14:textId="01E888D9" w:rsidR="6482EC3D" w:rsidRDefault="2B1A42FB" w:rsidP="6482EC3D">
            <w:r>
              <w:t>This right may not be up to standard due to not being allowed out for unessential reasons, like going to the park, or playing games outside your land.</w:t>
            </w:r>
          </w:p>
        </w:tc>
      </w:tr>
      <w:tr w:rsidR="6482EC3D" w14:paraId="743A1ACC" w14:textId="77777777" w:rsidTr="25F719DF">
        <w:tc>
          <w:tcPr>
            <w:tcW w:w="3009" w:type="dxa"/>
          </w:tcPr>
          <w:p w14:paraId="6A7FB020" w14:textId="73F9410B" w:rsidR="6482EC3D" w:rsidRDefault="25F719DF" w:rsidP="5FA05363">
            <w:pPr>
              <w:rPr>
                <w:sz w:val="52"/>
                <w:szCs w:val="52"/>
              </w:rPr>
            </w:pPr>
            <w:r w:rsidRPr="25F719DF">
              <w:rPr>
                <w:sz w:val="144"/>
                <w:szCs w:val="144"/>
              </w:rPr>
              <w:t>12</w:t>
            </w:r>
          </w:p>
        </w:tc>
        <w:tc>
          <w:tcPr>
            <w:tcW w:w="3009" w:type="dxa"/>
          </w:tcPr>
          <w:p w14:paraId="2738F03D" w14:textId="53C0D80F" w:rsidR="6482EC3D" w:rsidRDefault="5FA05363" w:rsidP="6482EC3D">
            <w:r>
              <w:t>This is the right for each and every child’s view to be considered and taken seriously, but it has to be in their best interests (Referring to article 3)</w:t>
            </w:r>
          </w:p>
        </w:tc>
        <w:tc>
          <w:tcPr>
            <w:tcW w:w="3009" w:type="dxa"/>
          </w:tcPr>
          <w:p w14:paraId="50A6B1CD" w14:textId="1B09C235" w:rsidR="6482EC3D" w:rsidRDefault="5FA05363" w:rsidP="6482EC3D">
            <w:r>
              <w:t>In lockdown there might want something that you can’t do.</w:t>
            </w:r>
          </w:p>
          <w:p w14:paraId="50BFDC3C" w14:textId="1CE6BAE1" w:rsidR="6482EC3D" w:rsidRDefault="5FA05363" w:rsidP="6482EC3D">
            <w:proofErr w:type="spellStart"/>
            <w:proofErr w:type="gramStart"/>
            <w:r>
              <w:t>i.e</w:t>
            </w:r>
            <w:proofErr w:type="spellEnd"/>
            <w:proofErr w:type="gramEnd"/>
            <w:r>
              <w:t xml:space="preserve"> wanting to go somewhere for something not very important, or something like that.</w:t>
            </w:r>
          </w:p>
        </w:tc>
      </w:tr>
    </w:tbl>
    <w:p w14:paraId="5B8FD276" w14:textId="127BE464" w:rsidR="2B1A42FB" w:rsidRDefault="25F719DF" w:rsidP="25F719DF">
      <w:pPr>
        <w:rPr>
          <w:rFonts w:ascii="Calibri" w:eastAsia="Calibri" w:hAnsi="Calibri" w:cs="Calibri"/>
        </w:rPr>
      </w:pPr>
      <w:r w:rsidRPr="25F719DF">
        <w:rPr>
          <w:rFonts w:ascii="Calibri" w:eastAsia="Calibri" w:hAnsi="Calibri" w:cs="Calibri"/>
        </w:rPr>
        <w:t>SOURCE:</w:t>
      </w:r>
    </w:p>
    <w:p w14:paraId="4E89C6B6" w14:textId="2EA05EAC" w:rsidR="2B1A42FB" w:rsidRDefault="25F719DF" w:rsidP="25F719DF">
      <w:pPr>
        <w:rPr>
          <w:rFonts w:ascii="Calibri" w:eastAsia="Calibri" w:hAnsi="Calibri" w:cs="Calibri"/>
        </w:rPr>
      </w:pPr>
      <w:r w:rsidRPr="25F719DF">
        <w:rPr>
          <w:rFonts w:ascii="Calibri" w:eastAsia="Calibri" w:hAnsi="Calibri" w:cs="Calibri"/>
        </w:rPr>
        <w:t>The UN Convention on the Rights of a Child (</w:t>
      </w:r>
      <w:proofErr w:type="spellStart"/>
      <w:r w:rsidRPr="25F719DF">
        <w:rPr>
          <w:rFonts w:ascii="Calibri" w:eastAsia="Calibri" w:hAnsi="Calibri" w:cs="Calibri"/>
        </w:rPr>
        <w:t>Offical</w:t>
      </w:r>
      <w:proofErr w:type="spellEnd"/>
      <w:r w:rsidRPr="25F719DF">
        <w:rPr>
          <w:rFonts w:ascii="Calibri" w:eastAsia="Calibri" w:hAnsi="Calibri" w:cs="Calibri"/>
        </w:rPr>
        <w:t xml:space="preserve"> Website):</w:t>
      </w:r>
    </w:p>
    <w:p w14:paraId="225A3190" w14:textId="3CF8EF1F" w:rsidR="2B1A42FB" w:rsidRDefault="007C0CC2" w:rsidP="2B1A42FB">
      <w:pPr>
        <w:rPr>
          <w:rFonts w:ascii="Calibri" w:eastAsia="Calibri" w:hAnsi="Calibri" w:cs="Calibri"/>
        </w:rPr>
      </w:pPr>
      <w:hyperlink r:id="rId4">
        <w:r w:rsidR="25F719DF" w:rsidRPr="25F719DF">
          <w:rPr>
            <w:rStyle w:val="Hyperlink"/>
            <w:rFonts w:ascii="Calibri" w:eastAsia="Calibri" w:hAnsi="Calibri" w:cs="Calibri"/>
          </w:rPr>
          <w:t>https://www.unicef.org.uk/child-rights-partners/wp-content/uploads/sites/3/2016/08/CRC_summary_leaflet_Child_Rights_Partners_web_final.pdf</w:t>
        </w:r>
      </w:hyperlink>
    </w:p>
    <w:p w14:paraId="2AA91E9C" w14:textId="6F98DD33" w:rsidR="2B1A42FB" w:rsidRDefault="2B1A42FB" w:rsidP="2B1A42FB">
      <w:pPr>
        <w:rPr>
          <w:rFonts w:ascii="Calibri" w:eastAsia="Calibri" w:hAnsi="Calibri" w:cs="Calibri"/>
        </w:rPr>
      </w:pPr>
    </w:p>
    <w:p w14:paraId="39F8667F" w14:textId="75AB03BA" w:rsidR="6482EC3D" w:rsidRDefault="6482EC3D" w:rsidP="6482EC3D"/>
    <w:p w14:paraId="4A4132E0" w14:textId="63DF2E11" w:rsidR="6482EC3D" w:rsidRDefault="6482EC3D" w:rsidP="6482EC3D"/>
    <w:p w14:paraId="1FAAAB36" w14:textId="2F682490" w:rsidR="6482EC3D" w:rsidRDefault="6482EC3D" w:rsidP="6482EC3D"/>
    <w:p w14:paraId="11E73ABC" w14:textId="2103C6AC" w:rsidR="6482EC3D" w:rsidRDefault="6482EC3D" w:rsidP="6482EC3D"/>
    <w:p w14:paraId="6EE2CCF3" w14:textId="28838B2A" w:rsidR="6482EC3D" w:rsidRDefault="6482EC3D" w:rsidP="6482EC3D"/>
    <w:p w14:paraId="26435DC7" w14:textId="2F6D40C6" w:rsidR="6482EC3D" w:rsidRDefault="6482EC3D" w:rsidP="6482EC3D"/>
    <w:p w14:paraId="0BB607A5" w14:textId="5B9450F8" w:rsidR="6482EC3D" w:rsidRDefault="6482EC3D" w:rsidP="6482EC3D"/>
    <w:p w14:paraId="0FD49705" w14:textId="2F57E34A" w:rsidR="6482EC3D" w:rsidRDefault="6482EC3D" w:rsidP="6482EC3D"/>
    <w:p w14:paraId="2E72DD33" w14:textId="18A47515" w:rsidR="6482EC3D" w:rsidRDefault="6482EC3D" w:rsidP="6482EC3D"/>
    <w:p w14:paraId="587C489E" w14:textId="7A5361E0" w:rsidR="6482EC3D" w:rsidRDefault="6482EC3D" w:rsidP="6482EC3D"/>
    <w:p w14:paraId="5F6C3AD2" w14:textId="78CA0219" w:rsidR="6482EC3D" w:rsidRDefault="6482EC3D" w:rsidP="6482EC3D"/>
    <w:p w14:paraId="279E6579" w14:textId="0B2399DD" w:rsidR="6482EC3D" w:rsidRDefault="6482EC3D" w:rsidP="6482EC3D"/>
    <w:sectPr w:rsidR="6482EC3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0337D3"/>
    <w:rsid w:val="006A2A45"/>
    <w:rsid w:val="007C0CC2"/>
    <w:rsid w:val="0552D229"/>
    <w:rsid w:val="0F366187"/>
    <w:rsid w:val="120337D3"/>
    <w:rsid w:val="13D0DCDE"/>
    <w:rsid w:val="1D322D69"/>
    <w:rsid w:val="1EBD793D"/>
    <w:rsid w:val="25F719DF"/>
    <w:rsid w:val="2B1A42FB"/>
    <w:rsid w:val="48F48FB2"/>
    <w:rsid w:val="5FA05363"/>
    <w:rsid w:val="6482EC3D"/>
    <w:rsid w:val="68C12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D229"/>
  <w15:chartTrackingRefBased/>
  <w15:docId w15:val="{83573599-A359-4482-BF53-9E05F735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icef.org.uk/child-rights-partners/wp-content/uploads/sites/3/2016/08/CRC_summary_leaflet_Child_Rights_Partners_web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MORGZ SHAW</dc:creator>
  <cp:keywords/>
  <dc:description/>
  <cp:lastModifiedBy>pupil</cp:lastModifiedBy>
  <cp:revision>2</cp:revision>
  <dcterms:created xsi:type="dcterms:W3CDTF">2020-05-05T07:30:00Z</dcterms:created>
  <dcterms:modified xsi:type="dcterms:W3CDTF">2020-05-05T07:30:00Z</dcterms:modified>
</cp:coreProperties>
</file>